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3290AB53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048F2B8D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03867427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25BC3EA6">
      <w:pPr>
        <w:pStyle w:val="style0"/>
        <w:widowControl/>
        <w:spacing w:before="156" w:beforeLines="50" w:lineRule="auto" w:line="360"/>
        <w:jc w:val="center"/>
        <w:rPr>
          <w:rFonts w:ascii="仿宋" w:eastAsia="仿宋" w:hAnsi="仿宋" w:hint="eastAsia"/>
          <w:b/>
          <w:bCs/>
          <w:sz w:val="48"/>
          <w:szCs w:val="48"/>
        </w:rPr>
      </w:pPr>
    </w:p>
    <w:p w14:paraId="5822AAEC">
      <w:pPr>
        <w:pStyle w:val="style0"/>
        <w:widowControl/>
        <w:spacing w:before="156" w:beforeLines="50" w:lineRule="auto" w:line="360"/>
        <w:jc w:val="center"/>
        <w:rPr>
          <w:rFonts w:ascii="仿宋" w:eastAsia="仿宋" w:hAnsi="仿宋" w:hint="eastAsia"/>
          <w:b/>
          <w:bCs/>
          <w:sz w:val="48"/>
          <w:szCs w:val="48"/>
          <w:lang w:val="en-US" w:eastAsia="zh-CN"/>
        </w:rPr>
      </w:pPr>
      <w:r>
        <w:rPr>
          <w:rFonts w:ascii="仿宋" w:eastAsia="仿宋" w:hAnsi="仿宋" w:hint="eastAsia"/>
          <w:b/>
          <w:bCs/>
          <w:sz w:val="48"/>
          <w:szCs w:val="48"/>
        </w:rPr>
        <w:t>A</w:t>
      </w:r>
      <w:bookmarkStart w:id="0" w:name="_GoBack"/>
      <w:bookmarkEnd w:id="0"/>
      <w:r>
        <w:rPr>
          <w:rFonts w:ascii="仿宋" w:eastAsia="仿宋" w:hAnsi="仿宋" w:hint="default"/>
          <w:b/>
          <w:bCs/>
          <w:sz w:val="48"/>
          <w:szCs w:val="48"/>
          <w:lang w:val="en-US"/>
        </w:rPr>
        <w:t>PM</w:t>
      </w:r>
      <w:r>
        <w:rPr>
          <w:rFonts w:ascii="仿宋" w:eastAsia="仿宋" w:hAnsi="仿宋" w:hint="eastAsia"/>
          <w:b/>
          <w:bCs/>
          <w:sz w:val="48"/>
          <w:szCs w:val="48"/>
          <w:lang w:val="en-US" w:eastAsia="zh-CN"/>
        </w:rPr>
        <w:t>能源争夺战</w:t>
      </w:r>
    </w:p>
    <w:p w14:paraId="51274A33">
      <w:pPr>
        <w:pStyle w:val="style0"/>
        <w:widowControl/>
        <w:spacing w:before="156" w:beforeLines="50" w:lineRule="auto" w:line="360"/>
        <w:jc w:val="center"/>
        <w:rPr>
          <w:rFonts w:ascii="仿宋" w:eastAsia="仿宋" w:hAnsi="仿宋" w:hint="eastAsia"/>
          <w:b/>
          <w:bCs/>
          <w:sz w:val="48"/>
          <w:szCs w:val="48"/>
        </w:rPr>
      </w:pPr>
      <w:r>
        <w:rPr>
          <w:rFonts w:ascii="仿宋" w:eastAsia="仿宋" w:hAnsi="仿宋" w:hint="eastAsia"/>
          <w:b/>
          <w:bCs/>
          <w:sz w:val="48"/>
          <w:szCs w:val="48"/>
          <w:lang w:val="en-US" w:eastAsia="zh-CN"/>
        </w:rPr>
        <w:t>机器人比赛规则</w:t>
      </w:r>
    </w:p>
    <w:p w14:paraId="450406C3">
      <w:pPr>
        <w:pStyle w:val="style0"/>
        <w:widowControl/>
        <w:spacing w:before="156" w:beforeLines="50" w:lineRule="auto" w:line="360"/>
        <w:jc w:val="center"/>
        <w:rPr>
          <w:rFonts w:ascii="仿宋" w:eastAsia="仿宋" w:hAnsi="仿宋" w:hint="eastAsia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2025年</w:t>
      </w:r>
      <w:r>
        <w:rPr>
          <w:rFonts w:ascii="仿宋" w:eastAsia="仿宋" w:hAnsi="仿宋" w:hint="default"/>
          <w:b/>
          <w:bCs/>
          <w:sz w:val="28"/>
          <w:szCs w:val="32"/>
          <w:lang w:val="en-US"/>
        </w:rPr>
        <w:t>2</w:t>
      </w:r>
      <w:r>
        <w:rPr>
          <w:rFonts w:ascii="仿宋" w:eastAsia="仿宋" w:hAnsi="仿宋" w:hint="eastAsia"/>
          <w:b/>
          <w:bCs/>
          <w:sz w:val="28"/>
          <w:szCs w:val="32"/>
        </w:rPr>
        <w:t>月</w:t>
      </w:r>
      <w:r>
        <w:rPr>
          <w:rFonts w:ascii="仿宋" w:eastAsia="仿宋" w:hAnsi="仿宋" w:hint="default"/>
          <w:b/>
          <w:bCs/>
          <w:sz w:val="28"/>
          <w:szCs w:val="32"/>
          <w:lang w:val="en-US"/>
        </w:rPr>
        <w:t>18</w:t>
      </w:r>
      <w:r>
        <w:rPr>
          <w:rFonts w:ascii="仿宋" w:eastAsia="仿宋" w:hAnsi="仿宋" w:hint="eastAsia"/>
          <w:b/>
          <w:bCs/>
          <w:sz w:val="28"/>
          <w:szCs w:val="32"/>
        </w:rPr>
        <w:t>日</w:t>
      </w:r>
    </w:p>
    <w:p w14:paraId="46843750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594AD50C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26DC1729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b/>
          <w:bCs/>
        </w:rPr>
      </w:pPr>
    </w:p>
    <w:p w14:paraId="647145A7">
      <w:pPr>
        <w:pStyle w:val="style0"/>
        <w:spacing w:before="156" w:beforeLines="50" w:lineRule="auto" w:line="360"/>
        <w:rPr>
          <w:rFonts w:ascii="仿宋" w:cs="等线" w:eastAsia="仿宋" w:hAnsi="仿宋" w:hint="eastAsia"/>
          <w:b/>
          <w:bCs/>
          <w:sz w:val="32"/>
          <w:szCs w:val="40"/>
        </w:rPr>
      </w:pPr>
      <w:r>
        <w:rPr>
          <w:rFonts w:ascii="仿宋" w:eastAsia="仿宋" w:hAnsi="仿宋"/>
          <w:b/>
          <w:bCs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-189230</wp:posOffset>
            </wp:positionH>
            <wp:positionV relativeFrom="paragraph">
              <wp:posOffset>403860</wp:posOffset>
            </wp:positionV>
            <wp:extent cx="7762240" cy="3935730"/>
            <wp:effectExtent l="0" t="0" r="0" b="7620"/>
            <wp:wrapNone/>
            <wp:docPr id="1026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/>
                  </pic:nvPicPr>
                  <pic:blipFill>
                    <a:blip r:embed="rId2" cstate="print"/>
                    <a:srcRect l="5680" t="0" r="7035" b="5193"/>
                    <a:stretch/>
                  </pic:blipFill>
                  <pic:spPr>
                    <a:xfrm rot="0">
                      <a:off x="0" y="0"/>
                      <a:ext cx="7762240" cy="39357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bCs/>
        </w:rPr>
        <w:br w:type="page"/>
      </w:r>
      <w:r>
        <w:rPr>
          <w:rFonts w:ascii="仿宋" w:cs="等线" w:eastAsia="仿宋" w:hAnsi="仿宋" w:hint="eastAsia"/>
          <w:b/>
          <w:bCs/>
          <w:sz w:val="44"/>
          <w:szCs w:val="52"/>
        </w:rPr>
        <w:t>一、总则</w:t>
      </w:r>
    </w:p>
    <w:p w14:paraId="6889F5A0">
      <w:pPr>
        <w:pStyle w:val="style0"/>
        <w:spacing w:before="156" w:beforeLines="50" w:lineRule="auto" w:line="360"/>
        <w:rPr>
          <w:rFonts w:ascii="仿宋" w:eastAsia="仿宋" w:hAnsi="仿宋" w:hint="eastAsia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1、赛队组成</w:t>
      </w:r>
    </w:p>
    <w:p w14:paraId="2C8EE5EF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每支队伍4-6名队员</w:t>
      </w:r>
      <w:r>
        <w:rPr>
          <w:rFonts w:ascii="仿宋" w:eastAsia="仿宋" w:hAnsi="仿宋"/>
          <w:sz w:val="28"/>
          <w:szCs w:val="32"/>
        </w:rPr>
        <w:t>，指导教师</w:t>
      </w:r>
      <w:r>
        <w:rPr>
          <w:rFonts w:ascii="仿宋" w:eastAsia="仿宋" w:hAnsi="仿宋" w:hint="eastAsia"/>
          <w:sz w:val="28"/>
          <w:szCs w:val="32"/>
        </w:rPr>
        <w:t>1</w:t>
      </w:r>
      <w:r>
        <w:rPr>
          <w:rFonts w:ascii="仿宋" w:eastAsia="仿宋" w:hAnsi="仿宋"/>
          <w:sz w:val="28"/>
          <w:szCs w:val="32"/>
        </w:rPr>
        <w:t xml:space="preserve">人。每人限参加1支队伍。 </w:t>
      </w:r>
    </w:p>
    <w:p w14:paraId="0117BE4C">
      <w:pPr>
        <w:pStyle w:val="style0"/>
        <w:spacing w:before="156" w:beforeLines="50" w:lineRule="auto" w:line="360"/>
        <w:rPr>
          <w:rFonts w:ascii="仿宋" w:eastAsia="仿宋" w:hAnsi="仿宋" w:hint="eastAsia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2、机器人要求</w:t>
      </w:r>
    </w:p>
    <w:p w14:paraId="06EC0D21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2.1、每支参赛队必须设计、制作 2 台机器人，可整机入场参赛，但须通过检录。</w:t>
      </w:r>
    </w:p>
    <w:p w14:paraId="28C06237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2.2 机器人在启动区的尺寸不超过长</w:t>
      </w:r>
      <w:r>
        <w:rPr>
          <w:rFonts w:ascii="仿宋" w:eastAsia="仿宋" w:hAnsi="仿宋"/>
          <w:sz w:val="28"/>
          <w:szCs w:val="32"/>
        </w:rPr>
        <w:t>30×宽30×高30cm；启动后可延展且尺寸无限制。</w:t>
      </w:r>
    </w:p>
    <w:p w14:paraId="778491EF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2.3、机器人使用STM32F103C8T6或rp2040核心控制器，三线数字及模拟传感器端口不超过6个，三线电机控制端口不超过8个，每台机器人使用控制器不超过1个。</w:t>
      </w:r>
    </w:p>
    <w:p w14:paraId="33DF7DFD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2.4、每台机器人电池饱和电压不得超过8.4V，容量不超过2000mAh，每台机器人使用电池数量不超过1个。</w:t>
      </w:r>
    </w:p>
    <w:p w14:paraId="1FF13465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2.5 机器人必须使用设计标准基于10.8mm的结构件搭建，可以使用螺丝、螺钉、铆钉、 胶水、扎带等辅助连接材料。可部分使用自行加工的部件进行搭建，整体占比不得超过整车结构的15%。</w:t>
      </w:r>
    </w:p>
    <w:p w14:paraId="0B88A07A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2.6、比赛过程中，机器人同时搬运或持有的任务物品（能源方块）数量不得超过2个。</w:t>
      </w:r>
    </w:p>
    <w:p w14:paraId="13811009">
      <w:pPr>
        <w:pStyle w:val="style0"/>
        <w:spacing w:before="156" w:beforeLines="50" w:lineRule="auto" w:line="360"/>
        <w:rPr>
          <w:rFonts w:ascii="仿宋" w:eastAsia="仿宋" w:hAnsi="仿宋" w:hint="eastAsia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3、比赛说明</w:t>
      </w:r>
    </w:p>
    <w:p w14:paraId="5950E716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3.1、比赛按队伍双方对抗竞技的方式进行，</w:t>
      </w:r>
      <w:r>
        <w:rPr>
          <w:rFonts w:ascii="仿宋" w:eastAsia="仿宋" w:hAnsi="仿宋" w:hint="eastAsia"/>
          <w:color w:val="000000"/>
          <w:sz w:val="28"/>
          <w:szCs w:val="32"/>
        </w:rPr>
        <w:t>每个队伍由两台机器人上场比赛</w:t>
      </w:r>
      <w:r>
        <w:rPr>
          <w:rFonts w:ascii="仿宋" w:eastAsia="仿宋" w:hAnsi="仿宋" w:hint="eastAsia"/>
          <w:sz w:val="28"/>
          <w:szCs w:val="32"/>
        </w:rPr>
        <w:t>。</w:t>
      </w:r>
    </w:p>
    <w:p w14:paraId="0FBE0B37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3.2、每场比赛时间为120</w:t>
      </w:r>
      <w:r>
        <w:rPr>
          <w:rFonts w:ascii="仿宋" w:eastAsia="仿宋" w:hAnsi="仿宋"/>
          <w:sz w:val="28"/>
          <w:szCs w:val="32"/>
        </w:rPr>
        <w:t>秒</w:t>
      </w:r>
      <w:r>
        <w:rPr>
          <w:rFonts w:ascii="仿宋" w:eastAsia="仿宋" w:hAnsi="仿宋" w:hint="eastAsia"/>
          <w:sz w:val="28"/>
          <w:szCs w:val="32"/>
        </w:rPr>
        <w:t>，包含15秒的“自动阶段”，和105秒的“手动阶段”</w:t>
      </w:r>
      <w:r>
        <w:rPr>
          <w:rFonts w:ascii="仿宋" w:eastAsia="仿宋" w:hAnsi="仿宋"/>
          <w:sz w:val="28"/>
          <w:szCs w:val="32"/>
        </w:rPr>
        <w:t>。</w:t>
      </w:r>
      <w:r>
        <w:rPr>
          <w:rFonts w:ascii="仿宋" w:eastAsia="仿宋" w:hAnsi="仿宋" w:hint="eastAsia"/>
          <w:sz w:val="28"/>
          <w:szCs w:val="32"/>
        </w:rPr>
        <w:t>自动阶段中，机器人需自主运行完成任务，任何人不得以任何形式控制或干扰机器人。手动阶段中，允许参赛队员遥控机器人，但不允许用手或物品触碰机器人和场上物品。</w:t>
      </w:r>
    </w:p>
    <w:p w14:paraId="08C0F6C1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3.3、比赛包括“资格赛”和“淘汰赛”两个部分。赛队在资格赛中将获得“胜场积分”，决定其资格赛排名。然后将以淘汰赛的方式决出冠亚季军等奖项。</w:t>
      </w:r>
    </w:p>
    <w:p w14:paraId="6DC6FF4F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3.4、比赛的核心任务是控制机器人将场地中的得分物（能源方块）放入能源收集塔内。比赛结束后，将根据任务完成的结果以及自动阶段奖励计算各方战队的本场得分。</w:t>
      </w:r>
    </w:p>
    <w:p w14:paraId="063D788F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3.5、比赛过程中，任何人不可用手触碰机器人。</w:t>
      </w:r>
    </w:p>
    <w:p w14:paraId="7F46A6FD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3.6、比赛任务执行过程中，机器人如发生结构脱落且不影响机器人正常运行的情况下，参赛选手可请求裁判帮助取回脱落件。</w:t>
      </w:r>
    </w:p>
    <w:p w14:paraId="54813C15">
      <w:pPr>
        <w:pStyle w:val="style0"/>
        <w:spacing w:before="156" w:beforeLines="50" w:lineRule="auto" w:line="360"/>
        <w:ind w:firstLine="420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/>
          <w:b/>
          <w:bCs/>
          <w:sz w:val="32"/>
          <w:szCs w:val="40"/>
        </w:rPr>
        <mc:AlternateContent>
          <mc:Choice Requires="wpg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5116195</wp:posOffset>
                </wp:positionH>
                <wp:positionV relativeFrom="paragraph">
                  <wp:posOffset>878205</wp:posOffset>
                </wp:positionV>
                <wp:extent cx="1990090" cy="1487804"/>
                <wp:effectExtent l="0" t="0" r="0" b="0"/>
                <wp:wrapNone/>
                <wp:docPr id="1027" name="组合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990090" cy="1487804"/>
                          <a:chOff x="-254986" y="0"/>
                          <a:chExt cx="3906871" cy="2960370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676275" y="0"/>
                            <a:ext cx="2975610" cy="296037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48710" b="37987"/>
                          <a:stretch/>
                        </pic:blipFill>
                        <pic:spPr>
                          <a:xfrm rot="0" flipH="1">
                            <a:off x="-254986" y="1190625"/>
                            <a:ext cx="3658235" cy="1764030"/>
                          </a:xfrm>
                          <a:prstGeom prst="rect"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27" filled="f" stroked="f" style="position:absolute;margin-left:402.85pt;margin-top:69.15pt;width:156.7pt;height:117.15pt;z-index:2;mso-position-horizontal-relative:page;mso-position-vertical-relative:text;mso-width-relative:page;mso-height-relative:page;mso-wrap-distance-left:0.0pt;mso-wrap-distance-right:0.0pt;visibility:visible;" coordsize="3906871,2960370" coordorigin="-254986,0">
                <v:shape id="1028" type="#_x0000_t75" filled="f" stroked="f" style="position:absolute;left:676275;top:0;width:2975610;height:2960370;z-index:2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029" type="#_x0000_t75" filled="f" stroked="f" style="position:absolute;left:-254986;top:1190625;width:3658235;height:1764030;z-index:3;mso-position-horizontal-relative:page;mso-position-vertical-relative:page;mso-width-relative:page;mso-height-relative:page;visibility:visible;flip:x;">
                  <v:imagedata r:id="rId4" cropbottom="24895f" cropright="31922f" embosscolor="white" o:title=""/>
                  <v:fill/>
                </v:shape>
                <v:fill/>
              </v:group>
            </w:pict>
          </mc:Fallback>
        </mc:AlternateContent>
      </w:r>
      <w:r>
        <w:rPr>
          <w:rFonts w:ascii="仿宋" w:eastAsia="仿宋" w:hAnsi="仿宋" w:hint="eastAsia"/>
          <w:sz w:val="28"/>
          <w:szCs w:val="32"/>
        </w:rPr>
        <w:t>3.7、比赛任务执行过程中不得更换机器人，不可以对机器人软硬件进行变更。</w:t>
      </w:r>
    </w:p>
    <w:p w14:paraId="7CEADB59">
      <w:pPr>
        <w:pStyle w:val="style0"/>
        <w:spacing w:before="156" w:beforeLines="50" w:lineRule="auto" w:line="360"/>
        <w:rPr>
          <w:rFonts w:ascii="仿宋" w:cs="等线" w:eastAsia="仿宋" w:hAnsi="仿宋" w:hint="eastAsia"/>
          <w:b/>
          <w:bCs/>
          <w:sz w:val="32"/>
          <w:szCs w:val="40"/>
        </w:rPr>
      </w:pPr>
    </w:p>
    <w:p w14:paraId="58EDF0D9">
      <w:pPr>
        <w:pStyle w:val="style0"/>
        <w:spacing w:before="156" w:beforeLines="50" w:lineRule="auto" w:line="360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二、场地及任务物品说明</w:t>
      </w:r>
    </w:p>
    <w:p w14:paraId="3B3D9710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b/>
          <w:bCs/>
          <w:sz w:val="32"/>
          <w:szCs w:val="36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1、比赛场地—机器人出发区</w:t>
      </w:r>
    </w:p>
    <w:p w14:paraId="3FC6FFDB">
      <w:pPr>
        <w:pStyle w:val="style0"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场地尺寸约为</w:t>
      </w:r>
      <w:r>
        <w:rPr>
          <w:rFonts w:ascii="仿宋" w:eastAsia="仿宋" w:hAnsi="仿宋"/>
          <w:sz w:val="28"/>
          <w:szCs w:val="32"/>
        </w:rPr>
        <w:t>158cm×158cm。</w:t>
      </w:r>
      <w:r>
        <w:rPr>
          <w:rFonts w:ascii="仿宋" w:eastAsia="仿宋" w:hAnsi="仿宋" w:hint="eastAsia"/>
          <w:sz w:val="28"/>
          <w:szCs w:val="32"/>
        </w:rPr>
        <w:t>紫方战队和灰方战队各有两个机器人出发区。</w:t>
      </w:r>
    </w:p>
    <w:p w14:paraId="58A0E1AC">
      <w:pPr>
        <w:pStyle w:val="style0"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比赛开始时，机器人须完全置于出发区内。</w:t>
      </w:r>
    </w:p>
    <w:p w14:paraId="2EFE7BAC">
      <w:pPr>
        <w:pStyle w:val="style0"/>
        <w:spacing w:lineRule="auto" w:line="360"/>
        <w:ind w:left="-3" w:leftChars="-338" w:hanging="707" w:hangingChars="337"/>
        <w:jc w:val="center"/>
        <w:rPr>
          <w:rFonts w:ascii="仿宋" w:eastAsia="仿宋" w:hAnsi="仿宋" w:hint="eastAsia"/>
          <w:b/>
          <w:bCs/>
        </w:rPr>
      </w:pPr>
      <w:r>
        <w:rPr>
          <w:rFonts w:ascii="仿宋" w:eastAsia="仿宋" w:hAnsi="仿宋"/>
        </w:rPr>
        <w:drawing>
          <wp:inline distL="0" distT="0" distB="0" distR="0">
            <wp:extent cx="6075045" cy="2133600"/>
            <wp:effectExtent l="0" t="0" r="1905" b="0"/>
            <wp:docPr id="1030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/>
                  </pic:nvPicPr>
                  <pic:blipFill>
                    <a:blip r:embed="rId5" cstate="print"/>
                    <a:srcRect l="0" t="5662" r="0" b="0"/>
                    <a:stretch/>
                  </pic:blipFill>
                  <pic:spPr>
                    <a:xfrm rot="0">
                      <a:off x="0" y="0"/>
                      <a:ext cx="6075045" cy="213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3672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  <w:sz w:val="32"/>
          <w:szCs w:val="36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2、比赛场地—能源收集塔</w:t>
      </w:r>
    </w:p>
    <w:p w14:paraId="71CCBD54">
      <w:pPr>
        <w:pStyle w:val="style0"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场地中央有一个</w:t>
      </w:r>
      <w:r>
        <w:rPr>
          <w:rFonts w:ascii="仿宋" w:eastAsia="仿宋" w:hAnsi="仿宋"/>
          <w:sz w:val="28"/>
          <w:szCs w:val="32"/>
        </w:rPr>
        <w:t>高</w:t>
      </w:r>
      <w:r>
        <w:rPr>
          <w:rFonts w:ascii="仿宋" w:eastAsia="仿宋" w:hAnsi="仿宋" w:hint="eastAsia"/>
          <w:sz w:val="28"/>
          <w:szCs w:val="32"/>
        </w:rPr>
        <w:t>塔，四个角落分别有一个低塔。五个塔相关的得分规则相同。</w:t>
      </w:r>
    </w:p>
    <w:p w14:paraId="3BC49FC3">
      <w:pPr>
        <w:pStyle w:val="style0"/>
        <w:spacing w:before="156" w:beforeLines="50" w:lineRule="auto" w:line="360"/>
        <w:ind w:firstLine="420"/>
        <w:jc w:val="center"/>
        <w:rPr>
          <w:rFonts w:ascii="仿宋" w:eastAsia="仿宋" w:hAnsi="仿宋" w:hint="eastAsia"/>
        </w:rPr>
      </w:pPr>
      <w:r>
        <w:rPr>
          <w:rFonts w:ascii="仿宋" w:eastAsia="仿宋" w:hAnsi="仿宋"/>
        </w:rPr>
        <w:drawing>
          <wp:inline distL="0" distT="0" distB="0" distR="0">
            <wp:extent cx="1350645" cy="2786380"/>
            <wp:effectExtent l="0" t="0" r="1905" b="0"/>
            <wp:docPr id="1031" name="图片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/>
                  </pic:nvPicPr>
                  <pic:blipFill>
                    <a:blip r:embed="rId6" cstate="print"/>
                    <a:srcRect l="58390" t="994" r="0" b="4847"/>
                    <a:stretch/>
                  </pic:blipFill>
                  <pic:spPr>
                    <a:xfrm rot="0">
                      <a:off x="0" y="0"/>
                      <a:ext cx="1350645" cy="27863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               </w:t>
      </w:r>
      <w:r>
        <w:rPr>
          <w:rFonts w:ascii="仿宋" w:eastAsia="仿宋" w:hAnsi="仿宋"/>
        </w:rPr>
        <w:drawing>
          <wp:inline distL="0" distT="0" distB="0" distR="0">
            <wp:extent cx="1547495" cy="2689225"/>
            <wp:effectExtent l="0" t="0" r="0" b="0"/>
            <wp:docPr id="1032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7495" cy="2689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131C87F">
      <w:pPr>
        <w:pStyle w:val="style0"/>
        <w:spacing w:lineRule="auto" w:line="360"/>
        <w:ind w:firstLine="1968" w:firstLineChars="700"/>
        <w:rPr>
          <w:rFonts w:ascii="仿宋" w:eastAsia="仿宋" w:hAnsi="仿宋" w:hint="eastAsia"/>
          <w:sz w:val="36"/>
          <w:szCs w:val="40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 xml:space="preserve">高塔  </w:t>
      </w:r>
      <w:r>
        <w:rPr>
          <w:rFonts w:ascii="仿宋" w:eastAsia="仿宋" w:hAnsi="仿宋" w:hint="eastAsia"/>
          <w:b/>
          <w:bCs/>
          <w:sz w:val="18"/>
          <w:szCs w:val="20"/>
        </w:rPr>
        <w:t xml:space="preserve">                                  </w:t>
      </w:r>
      <w:r>
        <w:rPr>
          <w:rFonts w:ascii="仿宋" w:eastAsia="仿宋" w:hAnsi="仿宋" w:hint="eastAsia"/>
          <w:b/>
          <w:bCs/>
          <w:sz w:val="28"/>
          <w:szCs w:val="32"/>
        </w:rPr>
        <w:t>低塔</w:t>
      </w:r>
    </w:p>
    <w:p w14:paraId="616107F2">
      <w:pPr>
        <w:pStyle w:val="style0"/>
        <w:widowControl/>
        <w:spacing w:lineRule="auto" w:line="360"/>
        <w:jc w:val="center"/>
        <w:rPr>
          <w:rFonts w:ascii="仿宋" w:eastAsia="仿宋" w:hAnsi="仿宋" w:hint="eastAsia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 xml:space="preserve">                </w:t>
      </w:r>
      <w:r>
        <w:rPr>
          <w:rFonts w:ascii="仿宋" w:eastAsia="仿宋" w:hAnsi="仿宋" w:hint="eastAsia"/>
          <w:b/>
          <w:bCs/>
          <w:sz w:val="15"/>
          <w:szCs w:val="16"/>
        </w:rPr>
        <w:t xml:space="preserve">                                       </w:t>
      </w:r>
      <w:r>
        <w:rPr>
          <w:rFonts w:ascii="仿宋" w:eastAsia="仿宋" w:hAnsi="仿宋" w:hint="eastAsia"/>
          <w:b/>
          <w:bCs/>
          <w:sz w:val="24"/>
          <w:szCs w:val="28"/>
        </w:rPr>
        <w:t>（朝向中心的支柱不连接底板，</w:t>
      </w:r>
    </w:p>
    <w:p w14:paraId="6DE55CA4">
      <w:pPr>
        <w:pStyle w:val="style0"/>
        <w:widowControl/>
        <w:spacing w:lineRule="auto" w:line="360"/>
        <w:jc w:val="center"/>
        <w:rPr>
          <w:rFonts w:ascii="仿宋" w:eastAsia="仿宋" w:hAnsi="仿宋" w:hint="eastAsia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24"/>
          <w:szCs w:val="28"/>
        </w:rPr>
        <w:t xml:space="preserve">                                      其余支柱之间连有扎带）</w:t>
      </w:r>
    </w:p>
    <w:p w14:paraId="131FFBBD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  <w:sz w:val="11"/>
          <w:szCs w:val="11"/>
        </w:rPr>
      </w:pPr>
      <w:r>
        <w:rPr>
          <w:rFonts w:ascii="仿宋" w:eastAsia="仿宋" w:hAnsi="仿宋" w:hint="eastAsia"/>
          <w:b/>
          <w:bCs/>
          <w:sz w:val="11"/>
          <w:szCs w:val="11"/>
        </w:rPr>
        <w:t xml:space="preserve">          </w:t>
      </w:r>
    </w:p>
    <w:bookmarkStart w:id="1" w:name="_Hlk174462662"/>
    <w:p w14:paraId="4D093FED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b/>
          <w:bCs/>
          <w:sz w:val="32"/>
          <w:szCs w:val="36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3、任务物品—能源方块</w:t>
      </w:r>
    </w:p>
    <w:bookmarkEnd w:id="1"/>
    <w:p w14:paraId="76E63EC3">
      <w:pPr>
        <w:pStyle w:val="style0"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场地中共有32</w:t>
      </w:r>
      <w:r>
        <w:rPr>
          <w:rFonts w:ascii="仿宋" w:eastAsia="仿宋" w:hAnsi="仿宋"/>
          <w:sz w:val="28"/>
          <w:szCs w:val="32"/>
        </w:rPr>
        <w:t>个</w:t>
      </w:r>
      <w:r>
        <w:rPr>
          <w:rFonts w:ascii="仿宋" w:eastAsia="仿宋" w:hAnsi="仿宋" w:hint="eastAsia"/>
          <w:sz w:val="28"/>
          <w:szCs w:val="32"/>
        </w:rPr>
        <w:t>能源方块。紫色能源方块有12个，是“紫方”的得分物。灰色能源方块有12个，是“灰方”的得分物。橘色“加分方块”有8个，是对阵双方共享的得分物。</w:t>
      </w:r>
    </w:p>
    <w:p w14:paraId="7A02AC9B">
      <w:pPr>
        <w:pStyle w:val="style0"/>
        <w:spacing w:before="156" w:beforeLines="50" w:lineRule="auto" w:line="360"/>
        <w:jc w:val="center"/>
        <w:rPr>
          <w:rFonts w:ascii="仿宋" w:eastAsia="仿宋" w:hAnsi="仿宋" w:hint="eastAsia"/>
          <w:sz w:val="22"/>
          <w:szCs w:val="24"/>
        </w:rPr>
      </w:pPr>
      <w:r>
        <w:rPr>
          <w:rFonts w:ascii="仿宋" w:eastAsia="仿宋" w:hAnsi="仿宋"/>
          <w:sz w:val="22"/>
          <w:szCs w:val="24"/>
        </w:rPr>
        <w:drawing>
          <wp:inline distL="0" distT="0" distB="0" distR="0">
            <wp:extent cx="3344545" cy="1289050"/>
            <wp:effectExtent l="0" t="0" r="8255" b="6350"/>
            <wp:docPr id="1033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4545" cy="1289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3A4BA8E">
      <w:pPr>
        <w:pStyle w:val="style0"/>
        <w:spacing w:before="156" w:beforeLines="50" w:lineRule="auto" w:line="360"/>
        <w:jc w:val="left"/>
        <w:rPr>
          <w:rFonts w:ascii="仿宋" w:eastAsia="仿宋" w:hAnsi="仿宋" w:hint="eastAsia"/>
          <w:sz w:val="24"/>
          <w:szCs w:val="28"/>
        </w:rPr>
      </w:pPr>
      <w:r>
        <w:rPr>
          <w:rFonts w:ascii="仿宋" w:eastAsia="仿宋" w:hAnsi="仿宋" w:hint="eastAsia"/>
          <w:sz w:val="28"/>
          <w:szCs w:val="32"/>
        </w:rPr>
        <w:t>能源块的初始摆放位置如图：</w:t>
      </w:r>
    </w:p>
    <w:p w14:paraId="7195CA5A">
      <w:pPr>
        <w:pStyle w:val="style0"/>
        <w:spacing w:before="156" w:beforeLines="50" w:lineRule="auto" w:line="360"/>
        <w:jc w:val="center"/>
        <w:rPr>
          <w:rFonts w:ascii="仿宋" w:eastAsia="仿宋" w:hAnsi="仿宋" w:hint="eastAsia"/>
          <w:b/>
          <w:bCs/>
          <w:sz w:val="15"/>
          <w:szCs w:val="15"/>
        </w:rPr>
      </w:pPr>
      <w:r>
        <w:rPr>
          <w:rFonts w:ascii="仿宋" w:eastAsia="仿宋" w:hAnsi="仿宋" w:hint="eastAsia"/>
          <w:b/>
          <w:bCs/>
          <w:sz w:val="15"/>
          <w:szCs w:val="15"/>
        </w:rPr>
        <w:t xml:space="preserve">  </w:t>
      </w:r>
      <w:r>
        <w:rPr>
          <w:rFonts w:ascii="仿宋" w:eastAsia="仿宋" w:hAnsi="仿宋"/>
        </w:rPr>
        <w:drawing>
          <wp:inline distL="0" distT="0" distB="0" distR="0">
            <wp:extent cx="3658870" cy="3581400"/>
            <wp:effectExtent l="0" t="0" r="0" b="0"/>
            <wp:docPr id="1034" name="图片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58870" cy="3581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0C6B3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595378FF">
      <w:pPr>
        <w:pStyle w:val="style0"/>
        <w:spacing w:before="156" w:beforeLines="50" w:lineRule="auto" w:line="360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三、比赛赛制</w:t>
      </w:r>
    </w:p>
    <w:p w14:paraId="7255C2C6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1、比赛按队伍双方对抗竞技的方式进行，每个队伍由两台机器人上场比赛。</w:t>
      </w:r>
    </w:p>
    <w:p w14:paraId="5F1E1499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2、比赛包括“资格赛”和“淘汰赛”两个部分。</w:t>
      </w:r>
    </w:p>
    <w:p w14:paraId="2009165D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赛队在资格赛中，将由“胜场积分”决定其资格赛排名。公布资格赛排名后将进行淘汰赛。淘汰赛将决出最终的冠亚季军等奖项。</w:t>
      </w:r>
    </w:p>
    <w:p w14:paraId="17ABAD07">
      <w:pPr>
        <w:pStyle w:val="style0"/>
        <w:spacing w:before="156" w:beforeLines="50" w:lineRule="auto" w:line="360"/>
        <w:jc w:val="center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</w:r>
      <w:r>
        <w:rPr>
          <w:rFonts w:ascii="仿宋" w:eastAsia="仿宋" w:hAnsi="仿宋"/>
          <w:sz w:val="28"/>
          <w:szCs w:val="32"/>
        </w:rPr>
      </w:r>
      <w:r>
        <w:rPr>
          <w:rFonts w:ascii="仿宋" w:eastAsia="仿宋" w:hAnsi="仿宋"/>
          <w:sz w:val="28"/>
          <w:szCs w:val="32"/>
        </w:rPr>
      </w:r>
      <w:r>
        <w:rPr>
          <w:rFonts w:ascii="仿宋" w:eastAsia="仿宋" w:hAnsi="仿宋"/>
          <w:sz w:val="28"/>
          <w:szCs w:val="32"/>
        </w:rPr>
        <mc:AlternateContent>
          <mc:Choice Requires="wpg">
            <w:drawing>
              <wp:inline distL="0" distT="0" distB="0" distR="0">
                <wp:extent cx="4730750" cy="927099"/>
                <wp:effectExtent l="0" t="0" r="12700" b="25400"/>
                <wp:docPr id="1035" name="组合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730750" cy="927099"/>
                          <a:chOff x="2907" y="2042"/>
                          <a:chExt cx="5408" cy="831"/>
                        </a:xfrm>
                      </wpg:grpSpPr>
                      <wps:wsp>
                        <wps:cNvSpPr/>
                        <wps:spPr>
                          <a:xfrm rot="0">
                            <a:off x="6257" y="2343"/>
                            <a:ext cx="462" cy="300"/>
                          </a:xfrm>
                          <a:prstGeom prst="rightArrow"/>
                          <a:solidFill>
                            <a:srgbClr val="bf4f14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348" y="2331"/>
                            <a:ext cx="462" cy="300"/>
                          </a:xfrm>
                          <a:prstGeom prst="rightArrow"/>
                          <a:solidFill>
                            <a:srgbClr val="f6c6ac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907" y="2042"/>
                            <a:ext cx="1547" cy="831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12700">
                            <a:solidFill>
                              <a:srgbClr val="e97132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txbx id="1038">
                          <w:txbxContent>
                            <w:p w14:paraId="131EA915">
                              <w:pPr>
                                <w:pStyle w:val="style0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  <w:t>资格赛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841" y="2042"/>
                            <a:ext cx="1547" cy="831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12700">
                            <a:solidFill>
                              <a:srgbClr val="e97132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txbx id="1039">
                          <w:txbxContent>
                            <w:p w14:paraId="07AF5A2C">
                              <w:pPr>
                                <w:pStyle w:val="style0"/>
                                <w:spacing w:lineRule="exact" w:line="240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  <w:t>公布</w:t>
                              </w:r>
                            </w:p>
                            <w:p w14:paraId="6D230733">
                              <w:pPr>
                                <w:pStyle w:val="style0"/>
                                <w:spacing w:lineRule="exact" w:line="240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  <w:t>资格赛排名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768" y="2042"/>
                            <a:ext cx="1547" cy="831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12700">
                            <a:solidFill>
                              <a:srgbClr val="e97132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txbx id="1040">
                          <w:txbxContent>
                            <w:p w14:paraId="254FF3E0">
                              <w:pPr>
                                <w:pStyle w:val="style0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c04f15"/>
                                  <w:sz w:val="28"/>
                                  <w:szCs w:val="32"/>
                                </w:rPr>
                                <w:t>淘汰赛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35" filled="f" stroked="f" style="margin-left:0.0pt;margin-top:0.0pt;width:372.5pt;height:73.0pt;mso-wrap-distance-left:0.0pt;mso-wrap-distance-right:0.0pt;visibility:visible;" coordsize="5408,831" coordorigin="2907,2042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1036" type="#_x0000_t13" adj="14588,5400," fillcolor="#bf4f14" stroked="f" style="position:absolute;left:6257;top:2343;width:462;height:300;z-index:2;mso-position-horizontal-relative:page;mso-position-vertical-relative:page;mso-width-relative:page;mso-height-relative:page;visibility:visible;">
                  <v:stroke on="f" joinstyle="miter" color="#0f465f" weight="1.0pt"/>
                  <v:fill/>
                </v:shape>
                <v:shape id="1037" type="#_x0000_t13" adj="14588,5400," fillcolor="#f6c6ac" stroked="f" style="position:absolute;left:4348;top:2331;width:462;height:300;z-index:3;mso-position-horizontal-relative:page;mso-position-vertical-relative:page;mso-width-relative:page;mso-height-relative:page;visibility:visible;">
                  <v:stroke on="f" joinstyle="miter" color="#0f465f" weight="1.0pt"/>
                  <v:fill/>
                </v:shape>
                <v:rect id="1038" fillcolor="white" stroked="t" style="position:absolute;left:2907;top:2042;width:1547;height:831;z-index:4;mso-position-horizontal-relative:page;mso-position-vertical-relative:page;mso-width-relative:page;mso-height-relative:page;visibility:visible;v-text-anchor:middle;">
                  <v:stroke joinstyle="miter" color="#e97132" weight="1.0pt"/>
                  <v:fill/>
                  <v:textbox inset="7.2pt,3.6pt,7.2pt,3.6pt">
                    <w:txbxContent>
                      <w:p w14:paraId="131EA915">
                        <w:pPr>
                          <w:pStyle w:val="style0"/>
                          <w:jc w:val="center"/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  <w:t>资格赛</w:t>
                        </w:r>
                      </w:p>
                    </w:txbxContent>
                  </v:textbox>
                </v:rect>
                <v:rect id="1039" fillcolor="white" stroked="t" style="position:absolute;left:4841;top:2042;width:1547;height:831;z-index:5;mso-position-horizontal-relative:page;mso-position-vertical-relative:page;mso-width-relative:page;mso-height-relative:page;visibility:visible;v-text-anchor:middle;">
                  <v:stroke joinstyle="miter" color="#e97132" weight="1.0pt"/>
                  <v:fill/>
                  <v:textbox inset="7.2pt,3.6pt,7.2pt,3.6pt">
                    <w:txbxContent>
                      <w:p w14:paraId="07AF5A2C">
                        <w:pPr>
                          <w:pStyle w:val="style0"/>
                          <w:spacing w:lineRule="exact" w:line="240"/>
                          <w:jc w:val="center"/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  <w:t>公布</w:t>
                        </w:r>
                      </w:p>
                      <w:p w14:paraId="6D230733">
                        <w:pPr>
                          <w:pStyle w:val="style0"/>
                          <w:spacing w:lineRule="exact" w:line="240"/>
                          <w:jc w:val="center"/>
                          <w:rPr>
                            <w:rFonts w:hint="eastAsia"/>
                            <w:b/>
                            <w:bCs/>
                            <w:color w:val="c04f15"/>
                            <w:sz w:val="22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  <w:t>资格赛排名</w:t>
                        </w:r>
                      </w:p>
                    </w:txbxContent>
                  </v:textbox>
                </v:rect>
                <v:rect id="1040" fillcolor="white" stroked="t" style="position:absolute;left:6768;top:2042;width:1547;height:831;z-index:6;mso-position-horizontal-relative:page;mso-position-vertical-relative:page;mso-width-relative:page;mso-height-relative:page;visibility:visible;v-text-anchor:middle;">
                  <v:stroke joinstyle="miter" color="#e97132" weight="1.0pt"/>
                  <v:fill/>
                  <v:textbox inset="7.2pt,3.6pt,7.2pt,3.6pt">
                    <w:txbxContent>
                      <w:p w14:paraId="254FF3E0">
                        <w:pPr>
                          <w:pStyle w:val="style0"/>
                          <w:jc w:val="center"/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c04f15"/>
                            <w:sz w:val="28"/>
                            <w:szCs w:val="32"/>
                          </w:rPr>
                          <w:t>淘汰赛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rFonts w:ascii="仿宋" w:eastAsia="仿宋" w:hAnsi="仿宋"/>
          <w:sz w:val="28"/>
          <w:szCs w:val="32"/>
        </w:rPr>
      </w:r>
      <w:r>
        <w:rPr>
          <w:rFonts w:ascii="仿宋" w:eastAsia="仿宋" w:hAnsi="仿宋"/>
          <w:sz w:val="28"/>
          <w:szCs w:val="32"/>
        </w:rPr>
      </w:r>
    </w:p>
    <w:p w14:paraId="3019A4B5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3、资格赛说明</w:t>
      </w:r>
    </w:p>
    <w:p w14:paraId="62D09250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资格赛中，将由“胜场积分”来确定每支赛队的资格赛排名。每支队伍将按对阵表进行多场竞技，每场比赛的 “对手”将不同。对阵表将在比赛前公布。</w:t>
      </w:r>
    </w:p>
    <w:p w14:paraId="349D0A0B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每场资格赛中，获胜的每支赛队都将获得2积分，平局获得1积分，负方获得0积分。</w:t>
      </w:r>
    </w:p>
    <w:p w14:paraId="23D90055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资格赛结束后，按赛队的“胜场积分”进行资格赛排名。胜场积分相同，则按队伍的全部场次比赛结果的“对方队伍得分”总和进行排名，“对方队伍得分”总和高的靠前。如果排名仍然相同，则按队伍的全部场次的“自动阶段奖励分”的总和进行排序。</w:t>
      </w:r>
    </w:p>
    <w:p w14:paraId="3F4FA5D2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4、淘汰赛说明</w:t>
      </w:r>
    </w:p>
    <w:p w14:paraId="7E62A594">
      <w:pPr>
        <w:pStyle w:val="style0"/>
        <w:spacing w:before="156" w:beforeLines="50" w:lineRule="auto" w:line="360"/>
        <w:ind w:firstLine="42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淘汰赛对阵表将于比赛前公布。下图仅供参考，以组委会公布的对阵表为准。</w:t>
      </w:r>
    </w:p>
    <w:p w14:paraId="297710E2">
      <w:pPr>
        <w:pStyle w:val="style0"/>
        <w:spacing w:before="156" w:beforeLines="50" w:lineRule="auto" w:line="360"/>
        <w:jc w:val="center"/>
        <w:rPr>
          <w:rFonts w:ascii="仿宋" w:eastAsia="仿宋" w:hAnsi="仿宋" w:hint="eastAsia"/>
          <w:b/>
          <w:bCs/>
        </w:rPr>
      </w:pPr>
      <w:r>
        <w:rPr>
          <w:rFonts w:ascii="仿宋" w:eastAsia="仿宋" w:hAnsi="仿宋"/>
        </w:rPr>
        <w:drawing>
          <wp:inline distL="0" distT="0" distB="0" distR="0">
            <wp:extent cx="5213985" cy="2171700"/>
            <wp:effectExtent l="0" t="0" r="5715" b="0"/>
            <wp:docPr id="1042" name="图片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4"/>
                    <pic:cNvPicPr/>
                  </pic:nvPicPr>
                  <pic:blipFill>
                    <a:blip r:embed="rId10" cstate="print"/>
                    <a:srcRect l="0" t="3464" r="0" b="3464"/>
                    <a:stretch/>
                  </pic:blipFill>
                  <pic:spPr>
                    <a:xfrm rot="0">
                      <a:off x="0" y="0"/>
                      <a:ext cx="5213985" cy="2171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7A27">
      <w:pPr>
        <w:pStyle w:val="style0"/>
        <w:widowControl/>
        <w:spacing w:lineRule="auto" w:line="360"/>
        <w:jc w:val="left"/>
        <w:rPr>
          <w:rFonts w:ascii="仿宋" w:cs="等线" w:eastAsia="仿宋" w:hAnsi="仿宋" w:hint="eastAsia"/>
          <w:b/>
          <w:bCs/>
          <w:sz w:val="32"/>
          <w:szCs w:val="40"/>
        </w:rPr>
      </w:pPr>
    </w:p>
    <w:p w14:paraId="4D8E1205">
      <w:pPr>
        <w:pStyle w:val="style0"/>
        <w:spacing w:before="156" w:beforeLines="50" w:lineRule="auto" w:line="360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四、得分规则</w:t>
      </w:r>
    </w:p>
    <w:p w14:paraId="5E561A37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1、比赛任务是机器人将场地中的能源方块放入塔内。机器人可控制或搬运场地内任一位置的任一颜色方块，但是机器人同时搬运或控制的方块数量不得超过2个。</w:t>
      </w:r>
    </w:p>
    <w:p w14:paraId="1656BD92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</w:rPr>
      </w:pPr>
      <w:r>
        <w:rPr>
          <w:rFonts w:ascii="仿宋" w:eastAsia="仿宋" w:hAnsi="仿宋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margin">
              <wp:align>center</wp:align>
            </wp:positionH>
            <wp:positionV relativeFrom="paragraph">
              <wp:posOffset>1339215</wp:posOffset>
            </wp:positionV>
            <wp:extent cx="5645150" cy="2324100"/>
            <wp:effectExtent l="0" t="0" r="0" b="0"/>
            <wp:wrapSquare wrapText="bothSides"/>
            <wp:docPr id="1043" name="图片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/>
                  </pic:nvPicPr>
                  <pic:blipFill>
                    <a:blip r:embed="rId11" cstate="print"/>
                    <a:srcRect l="0" t="-5418" r="0" b="1"/>
                    <a:stretch/>
                  </pic:blipFill>
                  <pic:spPr>
                    <a:xfrm rot="0">
                      <a:off x="0" y="0"/>
                      <a:ext cx="5645150" cy="2324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32"/>
        </w:rPr>
        <w:t>2、在塔内的每个紫色方块或灰色方块，可使其对应颜色的战队获得“1分”。如果塔内有一个或多个橘色方块，那么“每个”橘色方块可使该塔内的每个紫色或灰色方块均再获得“1分”。</w:t>
      </w:r>
    </w:p>
    <w:p w14:paraId="415C1C4D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示例1：紫色战队得4分，             示例2：紫色战队得分，</w:t>
      </w:r>
    </w:p>
    <w:p w14:paraId="1D9FB456">
      <w:pPr>
        <w:pStyle w:val="style0"/>
        <w:widowControl/>
        <w:spacing w:before="156" w:beforeLines="50" w:lineRule="auto" w:line="360"/>
        <w:ind w:firstLine="482" w:firstLineChars="200"/>
        <w:rPr>
          <w:rFonts w:ascii="仿宋" w:eastAsia="仿宋" w:hAnsi="仿宋" w:hint="eastAsia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4"/>
          <w:szCs w:val="28"/>
        </w:rPr>
        <w:t>灰色战队得2分                             灰色战队得3分</w:t>
      </w:r>
    </w:p>
    <w:p w14:paraId="12D6025D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3、自动阶段奖励分：自动阶段结束后，裁判将计算各战队的方块得分，得分较高的战队将获得4分“自动阶段奖励分”，如果双方战队的方块得分相同，双方将均获得2分“自动阶段奖励分”。</w:t>
      </w:r>
    </w:p>
    <w:p w14:paraId="37256953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4、自动阶段运动超时扣分：自动阶段结束时，机器人应保持静止。如果自动阶段结束后机器人仍运动超过1秒，则该战队将在本场比赛中扣除2分。</w:t>
      </w:r>
    </w:p>
    <w:p w14:paraId="31467031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5、整场比赛结束后，将根据各战队的方块得分，加上“自动阶段奖励分”，扣减“自动阶段运动超时扣分”，就是各战队的本场最终得分。</w:t>
      </w:r>
    </w:p>
    <w:p w14:paraId="764AD5E0">
      <w:pPr>
        <w:pStyle w:val="style0"/>
        <w:widowControl/>
        <w:spacing w:before="156" w:beforeLines="50" w:lineRule="auto" w:line="360"/>
        <w:ind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6、方块“在塔内”的判定标准：</w:t>
      </w:r>
    </w:p>
    <w:p w14:paraId="2FFBD68E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6.1、底层方块垂直投影完全进入塔内才能得分；有任一部分在塔外则不得分。</w:t>
      </w:r>
    </w:p>
    <w:p w14:paraId="6B62D9E1">
      <w:pPr>
        <w:pStyle w:val="style0"/>
        <w:widowControl/>
        <w:spacing w:before="156" w:beforeLines="50" w:lineRule="auto" w:line="360"/>
        <w:jc w:val="center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drawing>
          <wp:inline distL="0" distT="0" distB="0" distR="0">
            <wp:extent cx="3210560" cy="1115060"/>
            <wp:effectExtent l="0" t="0" r="8890" b="8890"/>
            <wp:docPr id="1044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10560" cy="11150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73D7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6.2、除在底层的方块以外，方块需与塔内的其他方块相接触，且垂直投影有部分在塔的垂直投影内，高度比上一个方块高，即为“在塔内”。</w:t>
      </w:r>
    </w:p>
    <w:p w14:paraId="1861D68D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6.3、比赛结束时，紫色或灰色方块如果接触所属战队机器人，则该方块无效，不能得分。</w:t>
      </w:r>
    </w:p>
    <w:p w14:paraId="7C7091B9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6.4、比赛结束时，紫色或灰色方块如果接触对手战队机器人，则该方块可正常计分。</w:t>
      </w:r>
    </w:p>
    <w:p w14:paraId="05935062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6.5、比赛结束时，如果橘色方块接触到机器人，那么需满足以下条件才可计分：该橘色方块垂直投影有部分在塔内（底层橘色方块则需完全进入塔内），且与下方的其他能源块（或地面）接触。</w:t>
      </w:r>
    </w:p>
    <w:p w14:paraId="7F7F81E9">
      <w:pPr>
        <w:pStyle w:val="style0"/>
        <w:widowControl/>
        <w:spacing w:before="156" w:beforeLines="50" w:lineRule="auto" w:line="360"/>
        <w:ind w:left="420" w:firstLine="280" w:firstLineChars="10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7、方块掉出场地外的处理方式：比赛继续进行，裁判或工作人员会将掉出场地外的方块，尽可能快速放到场地内接近掉出点的位置上。</w:t>
      </w:r>
    </w:p>
    <w:p w14:paraId="59A7BE54">
      <w:pPr>
        <w:pStyle w:val="style0"/>
        <w:widowControl/>
        <w:spacing w:before="156" w:beforeLines="50" w:lineRule="auto" w:line="360"/>
        <w:ind w:left="420" w:firstLine="280" w:firstLineChars="10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8、比赛开始后，如果由于自身操作不当或者设计缺陷导致出现机器人故障、侧翻等影响机器人正常比赛的情况，裁判和工作人员不会人为干预、暂停或者终止比赛。</w:t>
      </w:r>
    </w:p>
    <w:p w14:paraId="133D91EE">
      <w:pPr>
        <w:pStyle w:val="style0"/>
        <w:widowControl/>
        <w:spacing w:before="156" w:beforeLines="50" w:lineRule="auto" w:line="360"/>
        <w:ind w:left="420"/>
        <w:jc w:val="left"/>
        <w:rPr>
          <w:rFonts w:ascii="仿宋" w:eastAsia="仿宋" w:hAnsi="仿宋" w:hint="eastAsia"/>
          <w:b/>
          <w:bCs/>
          <w:sz w:val="44"/>
          <w:szCs w:val="44"/>
        </w:rPr>
      </w:pPr>
      <w:r>
        <w:rPr>
          <w:rFonts w:ascii="仿宋" w:eastAsia="仿宋" w:hAnsi="仿宋" w:hint="eastAsia"/>
          <w:b/>
          <w:bCs/>
          <w:sz w:val="44"/>
          <w:szCs w:val="44"/>
        </w:rPr>
        <w:t>五、违规与判罚</w:t>
      </w:r>
    </w:p>
    <w:p w14:paraId="3C142324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</w:rPr>
        <w:t>1、禁止阻挡对方机器人的说明：在机器人未持有方块的情况下，禁止对对手战队机</w:t>
      </w:r>
      <w:r>
        <w:rPr>
          <w:rFonts w:ascii="仿宋" w:eastAsia="仿宋" w:hAnsi="仿宋" w:hint="eastAsia"/>
          <w:sz w:val="28"/>
          <w:szCs w:val="32"/>
        </w:rPr>
        <w:t>器人的得分动作进行阻挡。如发生了上述情况；裁判将要求阻挡者后退一个地面方格的距离，并保持距离不少于3秒。</w:t>
      </w:r>
    </w:p>
    <w:p w14:paraId="6B94E116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2、碰撞：主动碰撞或者干扰对方3秒以上，裁判会予以警告，并要求被警告方退后一个地面方格的距离；单局比赛警告3次，该队伍本局比赛判负。</w:t>
      </w:r>
    </w:p>
    <w:p w14:paraId="20AF0979">
      <w:pPr>
        <w:pStyle w:val="style0"/>
        <w:widowControl/>
        <w:spacing w:before="156" w:beforeLines="50" w:lineRule="auto" w:line="360"/>
        <w:ind w:left="420" w:firstLine="42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3、如遇任何争议部分，需先完成该阶段比赛，后续可向赛事裁判长进行仲裁。</w:t>
      </w:r>
    </w:p>
    <w:p w14:paraId="222A0B86">
      <w:pPr>
        <w:pStyle w:val="style0"/>
        <w:widowControl/>
        <w:spacing w:before="156" w:beforeLines="50" w:lineRule="auto" w:line="360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附录1</w:t>
      </w:r>
    </w:p>
    <w:p w14:paraId="66FFD160">
      <w:pPr>
        <w:pStyle w:val="style0"/>
        <w:widowControl/>
        <w:spacing w:before="156" w:beforeLines="50" w:lineRule="auto" w:line="360"/>
        <w:jc w:val="center"/>
        <w:rPr>
          <w:rFonts w:ascii="仿宋" w:cs="等线" w:eastAsia="仿宋" w:hAnsi="仿宋" w:hint="eastAsia"/>
          <w:b/>
          <w:bCs/>
          <w:sz w:val="44"/>
          <w:szCs w:val="5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能源争夺战计分表</w:t>
      </w:r>
    </w:p>
    <w:tbl>
      <w:tblPr>
        <w:tblStyle w:val="style154"/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14"/>
        <w:gridCol w:w="1270"/>
        <w:gridCol w:w="884"/>
        <w:gridCol w:w="1526"/>
        <w:gridCol w:w="743"/>
        <w:gridCol w:w="1241"/>
        <w:gridCol w:w="1115"/>
      </w:tblGrid>
      <w:tr w14:paraId="6B7EB430">
        <w:trPr>
          <w:trHeight w:val="1310" w:hRule="atLeast"/>
          <w:jc w:val="center"/>
        </w:trPr>
        <w:tc>
          <w:tcPr>
            <w:tcW w:w="9048" w:type="dxa"/>
            <w:gridSpan w:val="8"/>
            <w:tcBorders/>
            <w:noWrap/>
            <w:vAlign w:val="center"/>
          </w:tcPr>
          <w:p w14:paraId="051BCBD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 w:val="10"/>
                <w:szCs w:val="10"/>
              </w:rPr>
            </w:pPr>
          </w:p>
          <w:p w14:paraId="192336A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场次：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 xml:space="preserve"> </w:t>
            </w:r>
          </w:p>
          <w:p w14:paraId="7F10415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紫方队伍1：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 xml:space="preserve">     灰方队伍1：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  <w:u w:val="single"/>
              </w:rPr>
              <w:t xml:space="preserve">                       </w:t>
            </w:r>
          </w:p>
          <w:p w14:paraId="2DA69A6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紫方队伍2：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 xml:space="preserve">     灰方队伍2：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  <w:u w:val="single"/>
              </w:rPr>
              <w:t xml:space="preserve">                       </w:t>
            </w:r>
          </w:p>
        </w:tc>
      </w:tr>
      <w:tr w14:paraId="72435F11">
        <w:tblPrEx/>
        <w:trPr>
          <w:trHeight w:val="1741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2DDE693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紫方自动阶段方块得分</w:t>
            </w:r>
          </w:p>
        </w:tc>
        <w:tc>
          <w:tcPr>
            <w:tcW w:w="714" w:type="dxa"/>
            <w:tcBorders/>
            <w:noWrap/>
            <w:vAlign w:val="center"/>
          </w:tcPr>
          <w:p w14:paraId="48779B3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tcBorders>
              <w:right w:val="single" w:sz="18" w:space="0" w:color="auto"/>
            </w:tcBorders>
            <w:noWrap/>
            <w:vAlign w:val="center"/>
          </w:tcPr>
          <w:p w14:paraId="1CB63B3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紫方自动阶段奖励分(0/2/4)</w:t>
            </w:r>
          </w:p>
        </w:tc>
        <w:tc>
          <w:tcPr>
            <w:tcW w:w="8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16097915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5DD7978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灰方自动阶段方块得分</w:t>
            </w:r>
          </w:p>
        </w:tc>
        <w:tc>
          <w:tcPr>
            <w:tcW w:w="743" w:type="dxa"/>
            <w:tcBorders/>
            <w:noWrap/>
            <w:vAlign w:val="center"/>
          </w:tcPr>
          <w:p w14:paraId="32DC91F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tcBorders>
              <w:right w:val="single" w:sz="18" w:space="0" w:color="auto"/>
            </w:tcBorders>
            <w:noWrap/>
            <w:vAlign w:val="center"/>
          </w:tcPr>
          <w:p w14:paraId="503BD17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灰方自动阶段奖励分(0/2/4)</w:t>
            </w:r>
          </w:p>
        </w:tc>
        <w:tc>
          <w:tcPr>
            <w:tcW w:w="11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21DE8FE7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55802D69">
        <w:tblPrEx/>
        <w:trPr>
          <w:trHeight w:val="1080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106A1267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紫方自动阶段运动超时(秒)</w:t>
            </w:r>
          </w:p>
        </w:tc>
        <w:tc>
          <w:tcPr>
            <w:tcW w:w="714" w:type="dxa"/>
            <w:tcBorders/>
            <w:noWrap/>
            <w:vAlign w:val="center"/>
          </w:tcPr>
          <w:p w14:paraId="5050C18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tcBorders>
              <w:right w:val="single" w:sz="18" w:space="0" w:color="auto"/>
            </w:tcBorders>
            <w:noWrap/>
            <w:vAlign w:val="center"/>
          </w:tcPr>
          <w:p w14:paraId="368CABD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紫方自动阶段超时扣分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4DA8F32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1671651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灰方自动阶段运动超时(秒)</w:t>
            </w:r>
          </w:p>
        </w:tc>
        <w:tc>
          <w:tcPr>
            <w:tcW w:w="743" w:type="dxa"/>
            <w:tcBorders/>
            <w:noWrap/>
            <w:vAlign w:val="center"/>
          </w:tcPr>
          <w:p w14:paraId="173FC90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tcBorders>
              <w:right w:val="single" w:sz="18" w:space="0" w:color="auto"/>
            </w:tcBorders>
            <w:noWrap/>
            <w:vAlign w:val="center"/>
          </w:tcPr>
          <w:p w14:paraId="58F83073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灰方自动阶段超时扣分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446799B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5C443DBA">
        <w:tblPrEx/>
        <w:trPr>
          <w:trHeight w:val="578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315AF6A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低塔1紫块数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09B43E08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71C4BB3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低塔1紫方得分</w:t>
            </w:r>
          </w:p>
        </w:tc>
        <w:tc>
          <w:tcPr>
            <w:tcW w:w="8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234E9E1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1A12ECD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低塔1灰块数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3148E7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03CB907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低塔1灰方得分</w:t>
            </w:r>
          </w:p>
        </w:tc>
        <w:tc>
          <w:tcPr>
            <w:tcW w:w="11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3372F59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22A5B15C">
        <w:tblPrEx/>
        <w:trPr>
          <w:trHeight w:val="558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4100F84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低塔1橘块数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5D42020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48559E6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884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17AA2AD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763B0D2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低塔1橘块数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5274FCE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6D16A1C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115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1848244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39208813">
        <w:tblPrEx/>
        <w:trPr>
          <w:trHeight w:val="552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4991D4E9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低塔2紫块数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7AA1DB3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4125EAE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低塔2紫方得分</w:t>
            </w:r>
          </w:p>
        </w:tc>
        <w:tc>
          <w:tcPr>
            <w:tcW w:w="8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66B158B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3CA5322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低塔2灰块数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2882F66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3D62C25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低塔2灰方得分</w:t>
            </w:r>
          </w:p>
        </w:tc>
        <w:tc>
          <w:tcPr>
            <w:tcW w:w="11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10C6E3D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383B717C">
        <w:tblPrEx/>
        <w:trPr>
          <w:trHeight w:val="560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3011253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低塔2橘块数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1CCE2A98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2C44BAB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884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63BD0DB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66C35D79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低塔2橘块数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FE5D5C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5F481A6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115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6C2A924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1E739FF6">
        <w:tblPrEx/>
        <w:trPr>
          <w:trHeight w:val="554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5B7D6FE5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低塔3紫块数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763A99D3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58D0DEA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低塔3紫方得分</w:t>
            </w:r>
          </w:p>
        </w:tc>
        <w:tc>
          <w:tcPr>
            <w:tcW w:w="8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5FFB0CDA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3D28F305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低塔3灰块数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6FFC8E7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75BED97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低塔3灰方得分</w:t>
            </w:r>
          </w:p>
        </w:tc>
        <w:tc>
          <w:tcPr>
            <w:tcW w:w="11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35A88E9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0EFC5894">
        <w:tblPrEx/>
        <w:trPr>
          <w:trHeight w:val="562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54CC571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低塔3橘块数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3E34F194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1024A2C5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884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68851789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54E4D6E8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低塔3橘块数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A1570F3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539AFEF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115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7C34C1D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10C8BDB4">
        <w:tblPrEx/>
        <w:trPr>
          <w:trHeight w:val="556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01DEDDB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低塔4紫块数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5DED696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353CCCF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低塔4紫方得分</w:t>
            </w:r>
          </w:p>
        </w:tc>
        <w:tc>
          <w:tcPr>
            <w:tcW w:w="8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78908ED3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5CC42618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低塔4灰块数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BF640D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16A177D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低塔4灰方得分</w:t>
            </w:r>
          </w:p>
        </w:tc>
        <w:tc>
          <w:tcPr>
            <w:tcW w:w="11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4B8036F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5BB24C0D">
        <w:tblPrEx/>
        <w:trPr>
          <w:trHeight w:val="550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0022696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低塔4橘块数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4333359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1E9AD3A5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884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34B62C3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4BCC356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低塔4橘块数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742A1D1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0EABDA2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115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71DD8E8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6D152054">
        <w:tblPrEx/>
        <w:trPr>
          <w:trHeight w:val="558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621C7BB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高塔紫块数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79C40CE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712ED9F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</w:t>
            </w:r>
          </w:p>
          <w:p w14:paraId="2D6BFA6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紫方得分</w:t>
            </w:r>
          </w:p>
        </w:tc>
        <w:tc>
          <w:tcPr>
            <w:tcW w:w="8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2271DAA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04DEB42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  灰块数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6EB11FF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restart"/>
            <w:tcBorders>
              <w:right w:val="single" w:sz="18" w:space="0" w:color="auto"/>
            </w:tcBorders>
            <w:noWrap/>
            <w:vAlign w:val="center"/>
          </w:tcPr>
          <w:p w14:paraId="1C23451B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</w:t>
            </w:r>
          </w:p>
          <w:p w14:paraId="101EEDA9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灰方得分</w:t>
            </w:r>
          </w:p>
        </w:tc>
        <w:tc>
          <w:tcPr>
            <w:tcW w:w="1115" w:type="dxa"/>
            <w:vMerge w:val="restart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0D901F8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3AAEB729">
        <w:tblPrEx/>
        <w:trPr>
          <w:trHeight w:val="566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5E86248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高塔橘块数</w:t>
            </w:r>
          </w:p>
        </w:tc>
        <w:tc>
          <w:tcPr>
            <w:tcW w:w="714" w:type="dxa"/>
            <w:tcBorders/>
            <w:noWrap/>
            <w:vAlign w:val="center"/>
          </w:tcPr>
          <w:p w14:paraId="5B3381F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620CD7E9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884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21C3EBEC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526" w:type="dxa"/>
            <w:tcBorders>
              <w:left w:val="single" w:sz="18" w:space="0" w:color="auto"/>
            </w:tcBorders>
            <w:noWrap/>
            <w:vAlign w:val="center"/>
          </w:tcPr>
          <w:p w14:paraId="743E943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高塔  橘块数</w:t>
            </w:r>
          </w:p>
        </w:tc>
        <w:tc>
          <w:tcPr>
            <w:tcW w:w="743" w:type="dxa"/>
            <w:tcBorders/>
            <w:noWrap/>
            <w:vAlign w:val="center"/>
          </w:tcPr>
          <w:p w14:paraId="1FCA3B16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241" w:type="dxa"/>
            <w:vMerge w:val="continue"/>
            <w:tcBorders>
              <w:right w:val="single" w:sz="18" w:space="0" w:color="auto"/>
            </w:tcBorders>
            <w:noWrap/>
            <w:vAlign w:val="center"/>
          </w:tcPr>
          <w:p w14:paraId="2C497AC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1115" w:type="dxa"/>
            <w:vMerge w:val="continue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19F72E0F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2F180CA4">
        <w:tblPrEx/>
        <w:trPr>
          <w:trHeight w:val="1113" w:hRule="atLeast"/>
          <w:jc w:val="center"/>
        </w:trPr>
        <w:tc>
          <w:tcPr>
            <w:tcW w:w="3539" w:type="dxa"/>
            <w:gridSpan w:val="3"/>
            <w:tcBorders>
              <w:right w:val="single" w:sz="18" w:space="0" w:color="auto"/>
            </w:tcBorders>
            <w:noWrap/>
            <w:vAlign w:val="center"/>
          </w:tcPr>
          <w:p w14:paraId="5BB58532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紫方本场总分</w:t>
            </w:r>
          </w:p>
        </w:tc>
        <w:tc>
          <w:tcPr>
            <w:tcW w:w="8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5DC3BF2E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3510" w:type="dxa"/>
            <w:gridSpan w:val="3"/>
            <w:tcBorders>
              <w:left w:val="single" w:sz="18" w:space="0" w:color="auto"/>
              <w:right w:val="single" w:sz="18" w:space="0" w:color="auto"/>
            </w:tcBorders>
            <w:noWrap/>
            <w:vAlign w:val="center"/>
          </w:tcPr>
          <w:p w14:paraId="398A36C1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灰方本场总分</w:t>
            </w:r>
          </w:p>
        </w:tc>
        <w:tc>
          <w:tcPr>
            <w:tcW w:w="11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06636B4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</w:tr>
      <w:tr w14:paraId="5FC44ABA">
        <w:tblPrEx/>
        <w:trPr>
          <w:trHeight w:val="1236" w:hRule="atLeast"/>
          <w:jc w:val="center"/>
        </w:trPr>
        <w:tc>
          <w:tcPr>
            <w:tcW w:w="1555" w:type="dxa"/>
            <w:tcBorders/>
            <w:noWrap/>
            <w:vAlign w:val="center"/>
          </w:tcPr>
          <w:p w14:paraId="48A9B4B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本场</w:t>
            </w:r>
          </w:p>
          <w:p w14:paraId="3187833D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胜方</w:t>
            </w:r>
          </w:p>
        </w:tc>
        <w:tc>
          <w:tcPr>
            <w:tcW w:w="7493" w:type="dxa"/>
            <w:gridSpan w:val="7"/>
            <w:tcBorders/>
            <w:noWrap/>
            <w:vAlign w:val="center"/>
          </w:tcPr>
          <w:p w14:paraId="36C28710">
            <w:pPr>
              <w:pStyle w:val="style0"/>
              <w:adjustRightInd w:val="false"/>
              <w:snapToGrid w:val="false"/>
              <w:spacing w:lineRule="auto" w:line="360"/>
              <w:jc w:val="left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 xml:space="preserve">紫方获胜 </w:t>
            </w:r>
            <w:r>
              <w:rPr>
                <w:rFonts w:ascii="仿宋" w:eastAsia="仿宋" w:hAnsi="仿宋"/>
                <w:b/>
                <w:bCs/>
                <w:szCs w:val="21"/>
              </w:rPr>
              <w:t>□</w:t>
            </w:r>
            <w:r>
              <w:rPr>
                <w:rFonts w:ascii="仿宋" w:eastAsia="仿宋" w:hAnsi="仿宋" w:hint="eastAsia"/>
                <w:b/>
                <w:bCs/>
                <w:szCs w:val="21"/>
              </w:rPr>
              <w:t xml:space="preserve">               灰方获胜 </w:t>
            </w:r>
            <w:r>
              <w:rPr>
                <w:rFonts w:ascii="仿宋" w:eastAsia="仿宋" w:hAnsi="仿宋"/>
                <w:b/>
                <w:bCs/>
                <w:szCs w:val="21"/>
              </w:rPr>
              <w:t>□</w:t>
            </w:r>
            <w:r>
              <w:rPr>
                <w:rFonts w:ascii="仿宋" w:eastAsia="仿宋" w:hAnsi="仿宋" w:hint="eastAsia"/>
                <w:b/>
                <w:bCs/>
                <w:szCs w:val="21"/>
              </w:rPr>
              <w:t xml:space="preserve">               平局 </w:t>
            </w:r>
            <w:r>
              <w:rPr>
                <w:rFonts w:ascii="仿宋" w:eastAsia="仿宋" w:hAnsi="仿宋"/>
                <w:b/>
                <w:bCs/>
                <w:szCs w:val="21"/>
              </w:rPr>
              <w:t>□</w:t>
            </w:r>
          </w:p>
        </w:tc>
      </w:tr>
    </w:tbl>
    <w:p w14:paraId="6E467910">
      <w:pPr>
        <w:pStyle w:val="style0"/>
        <w:widowControl/>
        <w:spacing w:before="156" w:beforeLines="50" w:lineRule="auto" w:line="360"/>
        <w:jc w:val="left"/>
        <w:rPr>
          <w:rFonts w:ascii="仿宋" w:eastAsia="仿宋" w:hAnsi="仿宋" w:hint="eastAsia"/>
          <w:sz w:val="28"/>
          <w:szCs w:val="32"/>
        </w:rPr>
      </w:pPr>
      <w:r>
        <w:rPr>
          <w:rFonts w:ascii="仿宋" w:cs="等线" w:eastAsia="仿宋" w:hAnsi="仿宋" w:hint="eastAsia"/>
          <w:b/>
          <w:bCs/>
          <w:sz w:val="44"/>
          <w:szCs w:val="52"/>
        </w:rPr>
        <w:t>附录2、低塔的结构说明</w:t>
      </w:r>
    </w:p>
    <w:p w14:paraId="209F4969">
      <w:pPr>
        <w:pStyle w:val="style0"/>
        <w:spacing w:before="156" w:beforeLines="50" w:lineRule="auto" w:line="36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场地的四个角落分别有一个低塔。</w:t>
      </w:r>
    </w:p>
    <w:p w14:paraId="19CFF885">
      <w:pPr>
        <w:pStyle w:val="style0"/>
        <w:spacing w:before="156" w:beforeLines="50" w:lineRule="auto" w:line="36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朝向中心的支柱不连接底板，其余支柱之间连有扎带。</w:t>
      </w:r>
    </w:p>
    <w:p w14:paraId="5A7DC2B5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  <w:r>
        <w:rPr>
          <w:rFonts w:ascii="仿宋" w:eastAsia="仿宋" w:hAnsi="仿宋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2199005</wp:posOffset>
                </wp:positionH>
                <wp:positionV relativeFrom="paragraph">
                  <wp:posOffset>377190</wp:posOffset>
                </wp:positionV>
                <wp:extent cx="2651760" cy="2694940"/>
                <wp:effectExtent l="19050" t="19050" r="34925" b="734060"/>
                <wp:wrapNone/>
                <wp:docPr id="1045" name="对话气泡: 矩形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51760" cy="2694940"/>
                        </a:xfrm>
                        <a:prstGeom prst="wedgeRectCallout">
                          <a:avLst>
                            <a:gd name="adj1" fmla="val 22465"/>
                            <a:gd name="adj2" fmla="val 74671"/>
                          </a:avLst>
                        </a:prstGeom>
                        <a:solidFill>
                          <a:srgbClr val="7f7f7f"/>
                        </a:solidFill>
                        <a:ln cmpd="sng" cap="flat" w="57150">
                          <a:solidFill>
                            <a:srgbClr val="c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 id="1045">
                        <w:txbxContent>
                          <w:p w14:paraId="7C574CCA">
                            <w:pPr>
                              <w:pStyle w:val="style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adj="1350,25920" o:spt="61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1045" type="#_x0000_t61" adj="15652,26929" fillcolor="#7f7f7f" style="position:absolute;margin-left:173.15pt;margin-top:29.7pt;width:208.8pt;height:212.2pt;z-index:4;mso-position-horizontal-relative:text;mso-position-vertical-relative:text;mso-width-relative:page;mso-height-relative:page;mso-wrap-distance-left:0.0pt;mso-wrap-distance-right:0.0pt;visibility:visible;v-text-anchor:middle;">
                <v:stroke joinstyle="miter" color="#c00000" weight="4.5pt"/>
                <v:fill/>
                <v:textbox inset="7.2pt,3.6pt,7.2pt,3.6pt">
                  <w:txbxContent>
                    <w:p w14:paraId="7C574CCA">
                      <w:pPr>
                        <w:pStyle w:val="style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38308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  <w:r>
        <w:rPr>
          <w:rFonts w:ascii="仿宋" w:eastAsia="仿宋" w:hAnsi="仿宋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margin">
              <wp:posOffset>2237105</wp:posOffset>
            </wp:positionH>
            <wp:positionV relativeFrom="paragraph">
              <wp:posOffset>22225</wp:posOffset>
            </wp:positionV>
            <wp:extent cx="2581910" cy="2618740"/>
            <wp:effectExtent l="0" t="0" r="8890" b="0"/>
            <wp:wrapNone/>
            <wp:docPr id="104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81910" cy="26187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CE68541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0292BCB3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525DC757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72B523CE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2A2B8674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62D1EA47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223BAF18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p w14:paraId="66B8F213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  <w:r>
        <w:rPr>
          <w:rFonts w:ascii="仿宋" w:eastAsia="仿宋" w:hAnsi="仿宋"/>
          <w:b/>
          <w:bCs/>
        </w:rPr>
        <w:drawing>
          <wp:inline distL="0" distT="0" distB="0" distR="0">
            <wp:extent cx="5274310" cy="2423795"/>
            <wp:effectExtent l="0" t="0" r="0" b="0"/>
            <wp:docPr id="1047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/>
                  </pic:nvPicPr>
                  <pic:blipFill>
                    <a:blip r:embed="rId14" cstate="print"/>
                    <a:srcRect l="-2450" t="-1" r="-2469" b="-3296"/>
                    <a:stretch/>
                  </pic:blipFill>
                  <pic:spPr>
                    <a:xfrm rot="0">
                      <a:off x="0" y="0"/>
                      <a:ext cx="5274310" cy="2423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B23F">
      <w:pPr>
        <w:pStyle w:val="style0"/>
        <w:spacing w:before="156" w:beforeLines="50" w:lineRule="auto" w:line="360"/>
        <w:rPr>
          <w:rFonts w:ascii="仿宋" w:eastAsia="仿宋" w:hAnsi="仿宋" w:hint="eastAsia"/>
        </w:rPr>
      </w:pPr>
    </w:p>
    <w:sectPr>
      <w:footerReference w:type="default" r:id="rId15"/>
      <w:pgSz w:w="11906" w:h="16838" w:orient="portrait"/>
      <w:pgMar w:top="1440" w:right="1800" w:bottom="851" w:left="1800" w:header="426" w:footer="32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等线"/>
    <w:panose1 w:val="02010600030001010101"/>
    <w:charset w:val="86"/>
    <w:family w:val="auto"/>
    <w:pitch w:val="default"/>
    <w:sig w:usb0="A00002BF" w:usb1="38CF7CFA" w:usb2="00000016" w:usb3="00000000" w:csb0="0004000F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66440363">
    <w:pPr>
      <w:pStyle w:val="style32"/>
      <w:jc w:val="center"/>
      <w:rPr>
        <w:rFonts w:hint="eastAsia"/>
      </w:rPr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lang w:val="zh-CN"/>
      </w:rPr>
      <w:t>2</w:t>
    </w:r>
    <w:r>
      <w:rPr/>
      <w:fldChar w:fldCharType="end"/>
    </w:r>
  </w:p>
  <w:p w14:paraId="5A42D0EB">
    <w:pPr>
      <w:pStyle w:val="style32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等线" w:cs="宋体" w:eastAsia="等线" w:hAnsi="等线"/>
      <w:kern w:val="2"/>
      <w:sz w:val="21"/>
      <w:szCs w:val="22"/>
      <w:lang w:val="en-US" w:bidi="ar-SA" w:eastAsia="zh-CN"/>
      <w14:ligatures xmlns:w14="http://schemas.microsoft.com/office/word/2010/wordml" w14:val="standardContextual"/>
    </w:rPr>
  </w:style>
  <w:style w:type="paragraph" w:styleId="style1">
    <w:name w:val="heading 1"/>
    <w:basedOn w:val="style0"/>
    <w:next w:val="style0"/>
    <w:link w:val="style4098"/>
    <w:qFormat/>
    <w:uiPriority w:val="9"/>
    <w:pPr>
      <w:keepNext/>
      <w:keepLines/>
      <w:spacing w:lineRule="exact" w:line="400"/>
      <w:jc w:val="left"/>
      <w:outlineLvl w:val="0"/>
    </w:pPr>
    <w:rPr>
      <w:rFonts w:ascii="Times New Roman" w:cs="Times New Roman" w:eastAsia="宋体" w:hAnsi="Times New Roman"/>
      <w:b/>
      <w:bCs/>
      <w:kern w:val="44"/>
      <w:sz w:val="24"/>
      <w:szCs w:val="44"/>
      <w14:ligatures xmlns:w14="http://schemas.microsoft.com/office/word/2010/wordml" w14:val="none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76">
    <w:name w:val="Date"/>
    <w:basedOn w:val="style0"/>
    <w:next w:val="style0"/>
    <w:link w:val="style4097"/>
    <w:qFormat/>
    <w:uiPriority w:val="99"/>
    <w:pPr>
      <w:ind w:left="100" w:leftChars="2500"/>
    </w:pPr>
    <w:rPr/>
  </w:style>
  <w:style w:type="paragraph" w:styleId="style32">
    <w:name w:val="footer"/>
    <w:basedOn w:val="style0"/>
    <w:next w:val="style32"/>
    <w:link w:val="style4100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table" w:styleId="style154">
    <w:name w:val="Table Grid"/>
    <w:basedOn w:val="style105"/>
    <w:next w:val="style154"/>
    <w:qFormat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7">
    <w:name w:val="日期 字符"/>
    <w:basedOn w:val="style65"/>
    <w:next w:val="style4097"/>
    <w:link w:val="style76"/>
    <w:qFormat/>
    <w:uiPriority w:val="99"/>
  </w:style>
  <w:style w:type="character" w:customStyle="1" w:styleId="style4098">
    <w:name w:val="标题 1 字符"/>
    <w:basedOn w:val="style65"/>
    <w:next w:val="style4098"/>
    <w:link w:val="style1"/>
    <w:qFormat/>
    <w:uiPriority w:val="9"/>
    <w:rPr>
      <w:rFonts w:ascii="Times New Roman" w:cs="Times New Roman" w:eastAsia="宋体" w:hAnsi="Times New Roman"/>
      <w:b/>
      <w:bCs/>
      <w:kern w:val="44"/>
      <w:sz w:val="24"/>
      <w:szCs w:val="44"/>
      <w14:ligatures xmlns:w14="http://schemas.microsoft.com/office/word/2010/wordml" w14:val="none"/>
    </w:rPr>
  </w:style>
  <w:style w:type="character" w:customStyle="1" w:styleId="style4099">
    <w:name w:val="页眉 字符"/>
    <w:basedOn w:val="style65"/>
    <w:next w:val="style4099"/>
    <w:link w:val="style31"/>
    <w:qFormat/>
    <w:uiPriority w:val="99"/>
    <w:rPr>
      <w:sz w:val="18"/>
      <w:szCs w:val="18"/>
    </w:rPr>
  </w:style>
  <w:style w:type="character" w:customStyle="1" w:styleId="style4100">
    <w:name w:val="页脚 字符"/>
    <w:basedOn w:val="style65"/>
    <w:next w:val="style4100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customXml" Target="../customXml/item1.xml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2.jpeg"/><Relationship Id="rId15" Type="http://schemas.openxmlformats.org/officeDocument/2006/relationships/footer" Target="footer1.xml"/><Relationship Id="rId14" Type="http://schemas.openxmlformats.org/officeDocument/2006/relationships/image" Target="media/image12.pn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png"/><Relationship Id="rId19" Type="http://schemas.openxmlformats.org/officeDocument/2006/relationships/theme" Target="theme/theme1.xml"/><Relationship Id="rId6" Type="http://schemas.openxmlformats.org/officeDocument/2006/relationships/image" Target="media/image5.png"/><Relationship Id="rId18" Type="http://schemas.openxmlformats.org/officeDocument/2006/relationships/settings" Target="settings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2810</Words>
  <Pages>11</Pages>
  <Characters>2920</Characters>
  <Application>WPS Office</Application>
  <DocSecurity>0</DocSecurity>
  <Paragraphs>233</Paragraphs>
  <ScaleCrop>false</ScaleCrop>
  <LinksUpToDate>false</LinksUpToDate>
  <CharactersWithSpaces>3264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2025-02-18T13:19:06Z</dcterms:created>
  <dc:creator>Hao Hao</dc:creator>
  <lastModifiedBy>2312DRA50C</lastModifiedBy>
  <lastPrinted>2024-08-14T18:30:00Z</lastPrinted>
  <dcterms:modified xsi:type="dcterms:W3CDTF">2025-02-18T13:19:06Z</dcterms:modified>
  <revision>45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d4a2d16dae1a43f496027da5fcee049b_23</vt:lpwstr>
  </property>
  <property fmtid="{D5CDD505-2E9C-101B-9397-08002B2CF9AE}" pid="4" name="KSOTemplateDocerSaveRecord">
    <vt:lpwstr>eyJoZGlkIjoiZjI1ZjEzMzVhZWY3ZjQyYTY5OTU5NDhjMmRkZjk4ODYiLCJ1c2VySWQiOiI0MzYwNzE4NTYifQ==</vt:lpwstr>
  </property>
</Properties>
</file>